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BDE3" w14:textId="34F60821" w:rsidR="00725AF8" w:rsidRPr="00FD49EF" w:rsidRDefault="00725AF8" w:rsidP="00422D26">
      <w:pPr>
        <w:spacing w:after="0" w:line="480" w:lineRule="atLeast"/>
        <w:jc w:val="center"/>
        <w:textAlignment w:val="baseline"/>
        <w:outlineLvl w:val="0"/>
        <w:rPr>
          <w:rFonts w:ascii="Helvetica" w:eastAsia="Times New Roman" w:hAnsi="Helvetica" w:cs="Helvetica"/>
          <w:color w:val="666666"/>
          <w:spacing w:val="45"/>
          <w:kern w:val="36"/>
          <w:sz w:val="24"/>
          <w:szCs w:val="24"/>
        </w:rPr>
      </w:pPr>
      <w:r w:rsidRPr="00FD49EF">
        <w:rPr>
          <w:rFonts w:ascii="Helvetica" w:eastAsia="Times New Roman" w:hAnsi="Helvetica" w:cs="Helvetica"/>
          <w:color w:val="666666"/>
          <w:spacing w:val="45"/>
          <w:kern w:val="36"/>
          <w:sz w:val="24"/>
          <w:szCs w:val="24"/>
        </w:rPr>
        <w:t xml:space="preserve">New US EPA </w:t>
      </w:r>
      <w:r w:rsidR="00760E21" w:rsidRPr="00FD49EF">
        <w:rPr>
          <w:rFonts w:ascii="Helvetica" w:eastAsia="Times New Roman" w:hAnsi="Helvetica" w:cs="Helvetica"/>
          <w:color w:val="666666"/>
          <w:spacing w:val="45"/>
          <w:kern w:val="36"/>
          <w:sz w:val="24"/>
          <w:szCs w:val="24"/>
        </w:rPr>
        <w:t xml:space="preserve">Dental </w:t>
      </w:r>
      <w:r w:rsidRPr="00FD49EF">
        <w:rPr>
          <w:rFonts w:ascii="Helvetica" w:eastAsia="Times New Roman" w:hAnsi="Helvetica" w:cs="Helvetica"/>
          <w:color w:val="666666"/>
          <w:spacing w:val="45"/>
          <w:kern w:val="36"/>
          <w:sz w:val="24"/>
          <w:szCs w:val="24"/>
        </w:rPr>
        <w:t>Regulation</w:t>
      </w:r>
      <w:r w:rsidR="00422D26">
        <w:rPr>
          <w:rFonts w:ascii="Helvetica" w:eastAsia="Times New Roman" w:hAnsi="Helvetica" w:cs="Helvetica"/>
          <w:color w:val="666666"/>
          <w:spacing w:val="45"/>
          <w:kern w:val="36"/>
          <w:sz w:val="24"/>
          <w:szCs w:val="24"/>
        </w:rPr>
        <w:t xml:space="preserve"> Passes On </w:t>
      </w:r>
      <w:bookmarkStart w:id="0" w:name="_GoBack"/>
      <w:bookmarkEnd w:id="0"/>
      <w:r w:rsidRPr="00FD49EF">
        <w:rPr>
          <w:rFonts w:ascii="Helvetica" w:eastAsia="Times New Roman" w:hAnsi="Helvetica" w:cs="Helvetica"/>
          <w:color w:val="666666"/>
          <w:spacing w:val="45"/>
          <w:kern w:val="36"/>
          <w:sz w:val="24"/>
          <w:szCs w:val="24"/>
        </w:rPr>
        <w:t>Amalgam Waste</w:t>
      </w:r>
    </w:p>
    <w:p w14:paraId="762697A3" w14:textId="77777777" w:rsidR="00725AF8" w:rsidRPr="00FD49EF" w:rsidRDefault="00725AF8" w:rsidP="00725AF8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FD49EF"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</w:rPr>
        <w:t>“Effluent Limitations Guidelines and Standards for Dental Offices”</w:t>
      </w:r>
    </w:p>
    <w:p w14:paraId="0A8D500A" w14:textId="77777777" w:rsidR="00DA2499" w:rsidRDefault="00DA2499" w:rsidP="00725AF8">
      <w:pPr>
        <w:spacing w:after="0" w:line="480" w:lineRule="atLeast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</w:p>
    <w:p w14:paraId="419430D1" w14:textId="3279ED31" w:rsidR="00725AF8" w:rsidRPr="00FD49EF" w:rsidRDefault="00DA2499" w:rsidP="00725AF8">
      <w:pPr>
        <w:spacing w:after="0" w:line="480" w:lineRule="atLeast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  <w:r>
        <w:rPr>
          <w:rFonts w:ascii="Helvetica" w:eastAsia="Times New Roman" w:hAnsi="Helvetica" w:cs="Helvetica"/>
          <w:color w:val="666666"/>
          <w:sz w:val="24"/>
          <w:szCs w:val="24"/>
        </w:rPr>
        <w:t>The</w:t>
      </w:r>
      <w:r w:rsidR="003F567A" w:rsidRPr="00FD49EF">
        <w:rPr>
          <w:rFonts w:ascii="Helvetica" w:eastAsia="Times New Roman" w:hAnsi="Helvetica" w:cs="Helvetica"/>
          <w:color w:val="666666"/>
          <w:sz w:val="24"/>
          <w:szCs w:val="24"/>
        </w:rPr>
        <w:t xml:space="preserve"> EPA</w:t>
      </w:r>
      <w:r>
        <w:rPr>
          <w:rFonts w:ascii="Helvetica" w:eastAsia="Times New Roman" w:hAnsi="Helvetica" w:cs="Helvetica"/>
          <w:color w:val="666666"/>
          <w:sz w:val="24"/>
          <w:szCs w:val="24"/>
        </w:rPr>
        <w:t xml:space="preserve"> recently announced the compliance effective date of July 14, 2017 for </w:t>
      </w:r>
      <w:r w:rsidR="00725AF8" w:rsidRPr="00FD49EF">
        <w:rPr>
          <w:rFonts w:ascii="Helvetica" w:eastAsia="Times New Roman" w:hAnsi="Helvetica" w:cs="Helvetica"/>
          <w:color w:val="666666"/>
          <w:sz w:val="24"/>
          <w:szCs w:val="24"/>
        </w:rPr>
        <w:t>regulation entitled “</w:t>
      </w:r>
      <w:hyperlink r:id="rId6" w:history="1">
        <w:r w:rsidR="00725AF8" w:rsidRPr="00FD49EF">
          <w:rPr>
            <w:rFonts w:ascii="Helvetica" w:eastAsia="Times New Roman" w:hAnsi="Helvetica" w:cs="Helvetica"/>
            <w:color w:val="2EA3F2"/>
            <w:sz w:val="24"/>
            <w:szCs w:val="24"/>
            <w:u w:val="single"/>
            <w:bdr w:val="none" w:sz="0" w:space="0" w:color="auto" w:frame="1"/>
          </w:rPr>
          <w:t>Effluent Limitations Guidelines and Standards for Dental Offices</w:t>
        </w:r>
      </w:hyperlink>
      <w:r>
        <w:rPr>
          <w:rFonts w:ascii="Helvetica" w:eastAsia="Times New Roman" w:hAnsi="Helvetica" w:cs="Helvetica"/>
          <w:color w:val="666666"/>
          <w:sz w:val="24"/>
          <w:szCs w:val="24"/>
        </w:rPr>
        <w:t>”.</w:t>
      </w:r>
    </w:p>
    <w:p w14:paraId="4FD48EE6" w14:textId="77777777" w:rsidR="00FD49EF" w:rsidRDefault="00FD49EF" w:rsidP="00725AF8">
      <w:pPr>
        <w:spacing w:after="0" w:line="480" w:lineRule="atLeast"/>
        <w:textAlignment w:val="baseline"/>
        <w:rPr>
          <w:rFonts w:ascii="Helvetica" w:eastAsia="Times New Roman" w:hAnsi="Helvetica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</w:pPr>
    </w:p>
    <w:p w14:paraId="33EFE239" w14:textId="6A443DF0" w:rsidR="00DA2499" w:rsidRDefault="00DA2499" w:rsidP="00725AF8">
      <w:pPr>
        <w:spacing w:after="0" w:line="480" w:lineRule="atLeast"/>
        <w:textAlignment w:val="baseline"/>
        <w:rPr>
          <w:rFonts w:ascii="Helvetica" w:eastAsia="Times New Roman" w:hAnsi="Helvetica" w:cs="Arial"/>
          <w:color w:val="333333"/>
          <w:sz w:val="24"/>
          <w:szCs w:val="24"/>
          <w:shd w:val="clear" w:color="auto" w:fill="FFFFFF"/>
        </w:rPr>
      </w:pPr>
      <w:r w:rsidRPr="00FD49EF">
        <w:rPr>
          <w:rFonts w:ascii="Helvetica" w:eastAsia="Times New Roman" w:hAnsi="Helvetica" w:cs="Arial"/>
          <w:color w:val="333333"/>
          <w:sz w:val="24"/>
          <w:szCs w:val="24"/>
          <w:shd w:val="clear" w:color="auto" w:fill="FFFFFF"/>
        </w:rPr>
        <w:t xml:space="preserve">The regulation, commonly referred to as the “Dental Rule” was signed into the Federal Register, now requiring all 50 states </w:t>
      </w:r>
      <w:proofErr w:type="gramStart"/>
      <w:r w:rsidRPr="00FD49EF">
        <w:rPr>
          <w:rFonts w:ascii="Helvetica" w:eastAsia="Times New Roman" w:hAnsi="Helvetica" w:cs="Arial"/>
          <w:color w:val="333333"/>
          <w:sz w:val="24"/>
          <w:szCs w:val="24"/>
          <w:shd w:val="clear" w:color="auto" w:fill="FFFFFF"/>
        </w:rPr>
        <w:t>be</w:t>
      </w:r>
      <w:proofErr w:type="gramEnd"/>
      <w:r w:rsidRPr="00FD49EF">
        <w:rPr>
          <w:rFonts w:ascii="Helvetica" w:eastAsia="Times New Roman" w:hAnsi="Helvetica" w:cs="Arial"/>
          <w:color w:val="333333"/>
          <w:sz w:val="24"/>
          <w:szCs w:val="24"/>
          <w:shd w:val="clear" w:color="auto" w:fill="FFFFFF"/>
        </w:rPr>
        <w:t xml:space="preserve"> compliant to a new standard of Best Management Practices (BMPs) regarding amalgam waste. The </w:t>
      </w:r>
      <w:r>
        <w:rPr>
          <w:rFonts w:ascii="Helvetica" w:eastAsia="Times New Roman" w:hAnsi="Helvetica" w:cs="Arial"/>
          <w:color w:val="333333"/>
          <w:sz w:val="24"/>
          <w:szCs w:val="24"/>
          <w:shd w:val="clear" w:color="auto" w:fill="FFFFFF"/>
        </w:rPr>
        <w:t xml:space="preserve">new EPA dental </w:t>
      </w:r>
      <w:r w:rsidRPr="00FD49EF">
        <w:rPr>
          <w:rFonts w:ascii="Helvetica" w:eastAsia="Times New Roman" w:hAnsi="Helvetica" w:cs="Arial"/>
          <w:color w:val="333333"/>
          <w:sz w:val="24"/>
          <w:szCs w:val="24"/>
          <w:shd w:val="clear" w:color="auto" w:fill="FFFFFF"/>
        </w:rPr>
        <w:t>regulation was originally signed on December 16, 2016 and was under review with the new presidential administration until last June 9.</w:t>
      </w:r>
      <w:r w:rsidRPr="00FD49EF">
        <w:rPr>
          <w:rFonts w:ascii="Helvetica" w:eastAsia="Times New Roman" w:hAnsi="Helvetica" w:cs="Arial"/>
          <w:color w:val="333333"/>
          <w:sz w:val="24"/>
          <w:szCs w:val="24"/>
        </w:rPr>
        <w:br/>
      </w:r>
      <w:r w:rsidRPr="00FD49EF">
        <w:rPr>
          <w:rFonts w:ascii="Helvetica" w:eastAsia="Times New Roman" w:hAnsi="Helvetica" w:cs="Arial"/>
          <w:color w:val="333333"/>
          <w:sz w:val="24"/>
          <w:szCs w:val="24"/>
        </w:rPr>
        <w:br/>
      </w:r>
      <w:r w:rsidRPr="00FD49EF">
        <w:rPr>
          <w:rFonts w:ascii="Helvetica" w:eastAsia="Times New Roman" w:hAnsi="Helvetica" w:cs="Arial"/>
          <w:color w:val="333333"/>
          <w:sz w:val="24"/>
          <w:szCs w:val="24"/>
          <w:shd w:val="clear" w:color="auto" w:fill="FFFFFF"/>
        </w:rPr>
        <w:t>This new rule requires certain dental offices to comply with BMPs when handling amalgam waste. Practices are now required to either install an ISO 11143:2008 certified amalgam separator or an ANSI/ADA Standard No. 108 certified amalgam separator at a separation rate of 95 percent. Additionally, dental offices will be required to use amalgam waste buckets as defined in the BMPs, for the proper disposal of contact/non-contact amalgam items such a vacuum traps and amalgam capsules.</w:t>
      </w:r>
    </w:p>
    <w:p w14:paraId="61C996C4" w14:textId="77777777" w:rsidR="00DA2499" w:rsidRDefault="00DA2499" w:rsidP="00725AF8">
      <w:pPr>
        <w:spacing w:after="0" w:line="480" w:lineRule="atLeast"/>
        <w:textAlignment w:val="baseline"/>
        <w:rPr>
          <w:rFonts w:ascii="Helvetica" w:eastAsia="Times New Roman" w:hAnsi="Helvetica" w:cs="Arial"/>
          <w:color w:val="333333"/>
          <w:sz w:val="24"/>
          <w:szCs w:val="24"/>
          <w:shd w:val="clear" w:color="auto" w:fill="FFFFFF"/>
        </w:rPr>
      </w:pPr>
    </w:p>
    <w:p w14:paraId="0DA9C342" w14:textId="6BD3B0C6" w:rsidR="00DA2499" w:rsidRDefault="00DA2499" w:rsidP="00725AF8">
      <w:pPr>
        <w:spacing w:after="0" w:line="480" w:lineRule="atLeast"/>
        <w:textAlignment w:val="baseline"/>
        <w:rPr>
          <w:rFonts w:ascii="Helvetica" w:eastAsia="Times New Roman" w:hAnsi="Helvetica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</w:pPr>
      <w:r w:rsidRPr="00FD49EF">
        <w:rPr>
          <w:rFonts w:ascii="Helvetica" w:eastAsia="Times New Roman" w:hAnsi="Helvetica" w:cs="Arial"/>
          <w:color w:val="333333"/>
          <w:sz w:val="24"/>
          <w:szCs w:val="24"/>
          <w:shd w:val="clear" w:color="auto" w:fill="FFFFFF"/>
        </w:rPr>
        <w:t xml:space="preserve">The new </w:t>
      </w:r>
      <w:r>
        <w:rPr>
          <w:rFonts w:ascii="Helvetica" w:eastAsia="Times New Roman" w:hAnsi="Helvetica" w:cs="Arial"/>
          <w:color w:val="333333"/>
          <w:sz w:val="24"/>
          <w:szCs w:val="24"/>
          <w:shd w:val="clear" w:color="auto" w:fill="FFFFFF"/>
        </w:rPr>
        <w:t xml:space="preserve">EPA dental amalgam </w:t>
      </w:r>
      <w:r w:rsidRPr="00FD49EF">
        <w:rPr>
          <w:rFonts w:ascii="Helvetica" w:eastAsia="Times New Roman" w:hAnsi="Helvetica" w:cs="Arial"/>
          <w:color w:val="333333"/>
          <w:sz w:val="24"/>
          <w:szCs w:val="24"/>
          <w:shd w:val="clear" w:color="auto" w:fill="FFFFFF"/>
        </w:rPr>
        <w:t xml:space="preserve">regulation will affect dental offices nationwide that remove or replace amalgam </w:t>
      </w:r>
      <w:r w:rsidR="00422D26">
        <w:rPr>
          <w:rFonts w:ascii="Helvetica" w:eastAsia="Times New Roman" w:hAnsi="Helvetica" w:cs="Arial"/>
          <w:color w:val="333333"/>
          <w:sz w:val="24"/>
          <w:szCs w:val="24"/>
          <w:shd w:val="clear" w:color="auto" w:fill="FFFFFF"/>
        </w:rPr>
        <w:t>restorations, a significant increase over the</w:t>
      </w:r>
      <w:r w:rsidRPr="00FD49EF">
        <w:rPr>
          <w:rFonts w:ascii="Helvetica" w:eastAsia="Times New Roman" w:hAnsi="Helvetica" w:cs="Arial"/>
          <w:color w:val="333333"/>
          <w:sz w:val="24"/>
          <w:szCs w:val="24"/>
          <w:shd w:val="clear" w:color="auto" w:fill="FFFFFF"/>
        </w:rPr>
        <w:t xml:space="preserve"> 11 individual state </w:t>
      </w:r>
      <w:proofErr w:type="gramStart"/>
      <w:r w:rsidRPr="00FD49EF">
        <w:rPr>
          <w:rFonts w:ascii="Helvetica" w:eastAsia="Times New Roman" w:hAnsi="Helvetica" w:cs="Arial"/>
          <w:color w:val="333333"/>
          <w:sz w:val="24"/>
          <w:szCs w:val="24"/>
          <w:shd w:val="clear" w:color="auto" w:fill="FFFFFF"/>
        </w:rPr>
        <w:t>mandates which</w:t>
      </w:r>
      <w:proofErr w:type="gramEnd"/>
      <w:r w:rsidRPr="00FD49EF">
        <w:rPr>
          <w:rFonts w:ascii="Helvetica" w:eastAsia="Times New Roman" w:hAnsi="Helvetica" w:cs="Arial"/>
          <w:color w:val="333333"/>
          <w:sz w:val="24"/>
          <w:szCs w:val="24"/>
          <w:shd w:val="clear" w:color="auto" w:fill="FFFFFF"/>
        </w:rPr>
        <w:t xml:space="preserve"> have been using amalgam separators since 2002.</w:t>
      </w:r>
    </w:p>
    <w:p w14:paraId="14C6866B" w14:textId="77777777" w:rsidR="00DA2499" w:rsidRPr="00FD49EF" w:rsidRDefault="00DA2499" w:rsidP="00725AF8">
      <w:pPr>
        <w:spacing w:after="0" w:line="480" w:lineRule="atLeast"/>
        <w:textAlignment w:val="baseline"/>
        <w:rPr>
          <w:rFonts w:ascii="Helvetica" w:eastAsia="Times New Roman" w:hAnsi="Helvetica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</w:pPr>
    </w:p>
    <w:p w14:paraId="6D218B47" w14:textId="77777777" w:rsidR="00725AF8" w:rsidRPr="00FD49EF" w:rsidRDefault="00B46756" w:rsidP="00725AF8">
      <w:pPr>
        <w:spacing w:after="0" w:line="480" w:lineRule="atLeast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FD49EF">
        <w:rPr>
          <w:rFonts w:ascii="Helvetica" w:eastAsia="Times New Roman" w:hAnsi="Helvetica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EPA Dental Regulation </w:t>
      </w:r>
      <w:r w:rsidR="00725AF8" w:rsidRPr="00FD49EF">
        <w:rPr>
          <w:rFonts w:ascii="Helvetica" w:eastAsia="Times New Roman" w:hAnsi="Helvetica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Implementation Period:</w:t>
      </w:r>
    </w:p>
    <w:p w14:paraId="3AE91C54" w14:textId="77777777" w:rsidR="00725AF8" w:rsidRPr="00FD49EF" w:rsidRDefault="00B46756" w:rsidP="00725AF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FD49EF">
        <w:rPr>
          <w:rFonts w:ascii="Helvetica" w:eastAsia="Times New Roman" w:hAnsi="Helvetica" w:cs="Helvetica"/>
          <w:color w:val="666666"/>
          <w:sz w:val="24"/>
          <w:szCs w:val="24"/>
        </w:rPr>
        <w:t>To comply with the new EPA dental regulation, EXISTING</w:t>
      </w:r>
      <w:r w:rsidR="00725AF8" w:rsidRPr="00FD49EF">
        <w:rPr>
          <w:rFonts w:ascii="Helvetica" w:eastAsia="Times New Roman" w:hAnsi="Helvetica" w:cs="Helvetica"/>
          <w:color w:val="666666"/>
          <w:sz w:val="24"/>
          <w:szCs w:val="24"/>
        </w:rPr>
        <w:t xml:space="preserve"> dental practices </w:t>
      </w:r>
      <w:r w:rsidRPr="00FD49EF">
        <w:rPr>
          <w:rFonts w:ascii="Helvetica" w:eastAsia="Times New Roman" w:hAnsi="Helvetica" w:cs="Helvetica"/>
          <w:color w:val="666666"/>
          <w:sz w:val="24"/>
          <w:szCs w:val="24"/>
        </w:rPr>
        <w:t xml:space="preserve">will have 3 years to </w:t>
      </w:r>
      <w:r w:rsidR="00725AF8" w:rsidRPr="00FD49EF">
        <w:rPr>
          <w:rFonts w:ascii="Helvetica" w:eastAsia="Times New Roman" w:hAnsi="Helvetica" w:cs="Helvetica"/>
          <w:color w:val="666666"/>
          <w:sz w:val="24"/>
          <w:szCs w:val="24"/>
        </w:rPr>
        <w:t>install either a certified ANSI/ADA Standard No. 108 for Amalgam Separator, or a ISO 11143:2008 certified amalgam separator at a separation rate of 95%.</w:t>
      </w:r>
    </w:p>
    <w:p w14:paraId="1BF08DF9" w14:textId="77777777" w:rsidR="00725AF8" w:rsidRPr="00FD49EF" w:rsidRDefault="00B46756" w:rsidP="00725AF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FD49EF">
        <w:rPr>
          <w:rFonts w:ascii="Helvetica" w:eastAsia="Times New Roman" w:hAnsi="Helvetica" w:cs="Helvetica"/>
          <w:color w:val="666666"/>
          <w:sz w:val="24"/>
          <w:szCs w:val="24"/>
        </w:rPr>
        <w:lastRenderedPageBreak/>
        <w:t>To comply with the new EPA dental regulation, NEW</w:t>
      </w:r>
      <w:r w:rsidR="00725AF8" w:rsidRPr="00FD49EF">
        <w:rPr>
          <w:rFonts w:ascii="Helvetica" w:eastAsia="Times New Roman" w:hAnsi="Helvetica" w:cs="Helvetica"/>
          <w:color w:val="666666"/>
          <w:sz w:val="24"/>
          <w:szCs w:val="24"/>
        </w:rPr>
        <w:t xml:space="preserve"> practices</w:t>
      </w:r>
      <w:r w:rsidRPr="00FD49EF">
        <w:rPr>
          <w:rFonts w:ascii="Helvetica" w:eastAsia="Times New Roman" w:hAnsi="Helvetica" w:cs="Helvetica"/>
          <w:color w:val="666666"/>
          <w:sz w:val="24"/>
          <w:szCs w:val="24"/>
        </w:rPr>
        <w:t xml:space="preserve"> will have 90 days to</w:t>
      </w:r>
      <w:r w:rsidR="00725AF8" w:rsidRPr="00FD49EF">
        <w:rPr>
          <w:rFonts w:ascii="Helvetica" w:eastAsia="Times New Roman" w:hAnsi="Helvetica" w:cs="Helvetica"/>
          <w:color w:val="666666"/>
          <w:sz w:val="24"/>
          <w:szCs w:val="24"/>
        </w:rPr>
        <w:t xml:space="preserve"> install either a certified ANSI/ADA Standard No. 108 for Amalgam Separator, or a ISO 11143:2008 certified amalgam separator at a separation rate of 95%.</w:t>
      </w:r>
    </w:p>
    <w:p w14:paraId="7683398F" w14:textId="77777777" w:rsidR="00725AF8" w:rsidRPr="00FD49EF" w:rsidRDefault="00B46756" w:rsidP="00725AF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FD49EF">
        <w:rPr>
          <w:rFonts w:ascii="Helvetica" w:eastAsia="Times New Roman" w:hAnsi="Helvetica" w:cs="Helvetica"/>
          <w:color w:val="666666"/>
          <w:sz w:val="24"/>
          <w:szCs w:val="24"/>
        </w:rPr>
        <w:t>To comply with the new EPA dental regulation, d</w:t>
      </w:r>
      <w:r w:rsidR="00725AF8" w:rsidRPr="00FD49EF">
        <w:rPr>
          <w:rFonts w:ascii="Helvetica" w:eastAsia="Times New Roman" w:hAnsi="Helvetica" w:cs="Helvetica"/>
          <w:color w:val="666666"/>
          <w:sz w:val="24"/>
          <w:szCs w:val="24"/>
        </w:rPr>
        <w:t>ental offices that currently have an amalgam separator installed will have 10 years to comply and ensure they have a ANSI/ADA Standard No. 108 for Amalgam Separator, or a ISO 11143:2008 certified amalgam separator at a separation rate of 95%.</w:t>
      </w:r>
    </w:p>
    <w:p w14:paraId="287AE3CD" w14:textId="77777777" w:rsidR="00FD49EF" w:rsidRPr="00FD49EF" w:rsidRDefault="00FD49EF" w:rsidP="00725AF8">
      <w:pPr>
        <w:spacing w:after="0" w:line="480" w:lineRule="atLeast"/>
        <w:textAlignment w:val="baseline"/>
        <w:rPr>
          <w:rFonts w:ascii="Helvetica" w:eastAsia="Times New Roman" w:hAnsi="Helvetica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</w:pPr>
    </w:p>
    <w:p w14:paraId="23441451" w14:textId="77777777" w:rsidR="00725AF8" w:rsidRPr="00FD49EF" w:rsidRDefault="00725AF8" w:rsidP="00725AF8">
      <w:pPr>
        <w:spacing w:after="0" w:line="480" w:lineRule="atLeast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FD49EF">
        <w:rPr>
          <w:rFonts w:ascii="Helvetica" w:eastAsia="Times New Roman" w:hAnsi="Helvetica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Exemptions:</w:t>
      </w:r>
    </w:p>
    <w:p w14:paraId="54463138" w14:textId="68BFF11A" w:rsidR="00FD49EF" w:rsidRDefault="00725AF8" w:rsidP="00422D26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FD49EF">
        <w:rPr>
          <w:rFonts w:ascii="Helvetica" w:eastAsia="Times New Roman" w:hAnsi="Helvetica" w:cs="Helvetica"/>
          <w:color w:val="666666"/>
          <w:sz w:val="24"/>
          <w:szCs w:val="24"/>
        </w:rPr>
        <w:t>This rule applies to offices, including large institutions such as dental schools and clinics, where dentistry is practi</w:t>
      </w:r>
      <w:r w:rsidR="00B46756" w:rsidRPr="00FD49EF">
        <w:rPr>
          <w:rFonts w:ascii="Helvetica" w:eastAsia="Times New Roman" w:hAnsi="Helvetica" w:cs="Helvetica"/>
          <w:color w:val="666666"/>
          <w:sz w:val="24"/>
          <w:szCs w:val="24"/>
        </w:rPr>
        <w:t>ced that discharge to a POTW. The new EPA dental regulation</w:t>
      </w:r>
      <w:r w:rsidRPr="00FD49EF">
        <w:rPr>
          <w:rFonts w:ascii="Helvetica" w:eastAsia="Times New Roman" w:hAnsi="Helvetica" w:cs="Helvetica"/>
          <w:color w:val="666666"/>
          <w:sz w:val="24"/>
          <w:szCs w:val="24"/>
        </w:rPr>
        <w:t xml:space="preserve"> does not apply to mobile units or offices where the practice of dentistry consists only of the following dental specialties: oral pathology, oral and maxillofacial radiology, oral and maxillofacial surgery, orthodontics, periodontics, or prosthodontics.</w:t>
      </w:r>
    </w:p>
    <w:p w14:paraId="269169E2" w14:textId="77777777" w:rsidR="00422D26" w:rsidRPr="00422D26" w:rsidRDefault="00422D26" w:rsidP="00422D26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</w:p>
    <w:p w14:paraId="29D9D17C" w14:textId="1B6D89A5" w:rsidR="00725AF8" w:rsidRPr="00FD49EF" w:rsidRDefault="00725AF8" w:rsidP="00725AF8">
      <w:pPr>
        <w:spacing w:after="0" w:line="480" w:lineRule="atLeast"/>
        <w:textAlignment w:val="baseline"/>
        <w:rPr>
          <w:rFonts w:ascii="Helvetica" w:eastAsia="Times New Roman" w:hAnsi="Helvetica" w:cs="Helvetica"/>
          <w:b/>
          <w:color w:val="666666"/>
          <w:sz w:val="24"/>
          <w:szCs w:val="24"/>
          <w:u w:val="single"/>
        </w:rPr>
      </w:pPr>
      <w:r w:rsidRPr="00FD49EF">
        <w:rPr>
          <w:rFonts w:ascii="Helvetica" w:eastAsia="Times New Roman" w:hAnsi="Helvetica" w:cs="Helvetica"/>
          <w:b/>
          <w:color w:val="666666"/>
          <w:sz w:val="24"/>
          <w:szCs w:val="24"/>
          <w:u w:val="single"/>
        </w:rPr>
        <w:t>Important Links:</w:t>
      </w:r>
    </w:p>
    <w:p w14:paraId="24465179" w14:textId="77777777" w:rsidR="00725AF8" w:rsidRPr="00FD49EF" w:rsidRDefault="003F567A" w:rsidP="00725AF8">
      <w:pPr>
        <w:spacing w:after="0" w:line="480" w:lineRule="atLeast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  <w:hyperlink r:id="rId7" w:history="1">
        <w:r w:rsidR="00725AF8" w:rsidRPr="00FD49EF">
          <w:rPr>
            <w:rFonts w:ascii="Helvetica" w:eastAsia="Times New Roman" w:hAnsi="Helvetica" w:cs="Helvetica"/>
            <w:color w:val="0563C1"/>
            <w:sz w:val="24"/>
            <w:szCs w:val="24"/>
            <w:u w:val="single"/>
            <w:bdr w:val="none" w:sz="0" w:space="0" w:color="auto" w:frame="1"/>
          </w:rPr>
          <w:t>EPA Effluent Guid</w:t>
        </w:r>
        <w:r w:rsidR="00725AF8" w:rsidRPr="00FD49EF">
          <w:rPr>
            <w:rFonts w:ascii="Helvetica" w:eastAsia="Times New Roman" w:hAnsi="Helvetica" w:cs="Helvetica"/>
            <w:color w:val="0563C1"/>
            <w:sz w:val="24"/>
            <w:szCs w:val="24"/>
            <w:u w:val="single"/>
            <w:bdr w:val="none" w:sz="0" w:space="0" w:color="auto" w:frame="1"/>
          </w:rPr>
          <w:t>e</w:t>
        </w:r>
        <w:r w:rsidR="00725AF8" w:rsidRPr="00FD49EF">
          <w:rPr>
            <w:rFonts w:ascii="Helvetica" w:eastAsia="Times New Roman" w:hAnsi="Helvetica" w:cs="Helvetica"/>
            <w:color w:val="0563C1"/>
            <w:sz w:val="24"/>
            <w:szCs w:val="24"/>
            <w:u w:val="single"/>
            <w:bdr w:val="none" w:sz="0" w:space="0" w:color="auto" w:frame="1"/>
          </w:rPr>
          <w:t>lines</w:t>
        </w:r>
      </w:hyperlink>
    </w:p>
    <w:p w14:paraId="38B0571D" w14:textId="77777777" w:rsidR="00725AF8" w:rsidRPr="00FD49EF" w:rsidRDefault="003F567A" w:rsidP="00725AF8">
      <w:pPr>
        <w:spacing w:after="0" w:line="480" w:lineRule="atLeast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  <w:hyperlink r:id="rId8" w:history="1">
        <w:r w:rsidR="00725AF8" w:rsidRPr="00FD49EF">
          <w:rPr>
            <w:rFonts w:ascii="Helvetica" w:eastAsia="Times New Roman" w:hAnsi="Helvetica" w:cs="Helvetica"/>
            <w:color w:val="0563C1"/>
            <w:sz w:val="24"/>
            <w:szCs w:val="24"/>
            <w:u w:val="single"/>
            <w:bdr w:val="none" w:sz="0" w:space="0" w:color="auto" w:frame="1"/>
          </w:rPr>
          <w:t>ADA Best Management Practices for Amalgam Waste</w:t>
        </w:r>
      </w:hyperlink>
    </w:p>
    <w:p w14:paraId="600ACA4D" w14:textId="77777777" w:rsidR="00725AF8" w:rsidRPr="00FD49EF" w:rsidRDefault="003F567A" w:rsidP="00725AF8">
      <w:pPr>
        <w:spacing w:after="0" w:line="480" w:lineRule="atLeast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  <w:hyperlink r:id="rId9" w:history="1">
        <w:r w:rsidR="00725AF8" w:rsidRPr="00FD49EF">
          <w:rPr>
            <w:rFonts w:ascii="Helvetica" w:eastAsia="Times New Roman" w:hAnsi="Helvetica" w:cs="Helvetica"/>
            <w:color w:val="0563C1"/>
            <w:sz w:val="24"/>
            <w:szCs w:val="24"/>
            <w:u w:val="single"/>
            <w:bdr w:val="none" w:sz="0" w:space="0" w:color="auto" w:frame="1"/>
          </w:rPr>
          <w:t>EPA Regulation-“Effluent Limitations Guidelines and Standards for the Dental Category” </w:t>
        </w:r>
      </w:hyperlink>
    </w:p>
    <w:p w14:paraId="23C3C142" w14:textId="619665BB" w:rsidR="00FD49EF" w:rsidRPr="00DA2499" w:rsidRDefault="003F567A" w:rsidP="00DA2499">
      <w:pPr>
        <w:spacing w:after="0" w:line="480" w:lineRule="atLeast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  <w:hyperlink r:id="rId10" w:history="1">
        <w:r w:rsidR="00725AF8" w:rsidRPr="00FD49EF">
          <w:rPr>
            <w:rFonts w:ascii="Helvetica" w:eastAsia="Times New Roman" w:hAnsi="Helvetica" w:cs="Helvetica"/>
            <w:color w:val="0563C1"/>
            <w:sz w:val="24"/>
            <w:szCs w:val="24"/>
            <w:u w:val="single"/>
            <w:bdr w:val="none" w:sz="0" w:space="0" w:color="auto" w:frame="1"/>
          </w:rPr>
          <w:t>EPA Regulation Fact Sheet</w:t>
        </w:r>
      </w:hyperlink>
      <w:r w:rsidR="00FD49EF" w:rsidRPr="00FD49EF">
        <w:rPr>
          <w:rFonts w:ascii="Helvetica" w:eastAsia="Times New Roman" w:hAnsi="Helvetica" w:cs="Arial"/>
          <w:color w:val="333333"/>
          <w:sz w:val="24"/>
          <w:szCs w:val="24"/>
        </w:rPr>
        <w:br/>
      </w:r>
      <w:r w:rsidR="00FD49EF" w:rsidRPr="00FD49EF">
        <w:rPr>
          <w:rFonts w:ascii="Helvetica" w:eastAsia="Times New Roman" w:hAnsi="Helvetica" w:cs="Arial"/>
          <w:color w:val="333333"/>
          <w:sz w:val="24"/>
          <w:szCs w:val="24"/>
        </w:rPr>
        <w:br/>
      </w:r>
      <w:r w:rsidR="00FD49EF" w:rsidRPr="00FD49EF">
        <w:rPr>
          <w:rFonts w:ascii="Helvetica" w:eastAsia="Times New Roman" w:hAnsi="Helvetica" w:cs="Arial"/>
          <w:color w:val="333333"/>
          <w:sz w:val="24"/>
          <w:szCs w:val="24"/>
          <w:shd w:val="clear" w:color="auto" w:fill="FFFFFF"/>
        </w:rPr>
        <w:t>For more information, visit</w:t>
      </w:r>
      <w:r w:rsidR="00FD49EF" w:rsidRPr="00FD49EF">
        <w:rPr>
          <w:rStyle w:val="apple-converted-space"/>
          <w:rFonts w:ascii="Helvetica" w:eastAsia="Times New Roman" w:hAnsi="Helvetica" w:cs="Arial"/>
          <w:color w:val="333333"/>
          <w:sz w:val="24"/>
          <w:szCs w:val="24"/>
          <w:shd w:val="clear" w:color="auto" w:fill="FFFFFF"/>
        </w:rPr>
        <w:t> </w:t>
      </w:r>
      <w:r w:rsidR="00FD49EF" w:rsidRPr="00FD49EF">
        <w:rPr>
          <w:rFonts w:ascii="Helvetica" w:eastAsia="Times New Roman" w:hAnsi="Helvetica" w:cs="Times New Roman"/>
          <w:sz w:val="24"/>
          <w:szCs w:val="24"/>
        </w:rPr>
        <w:fldChar w:fldCharType="begin"/>
      </w:r>
      <w:r w:rsidR="00FD49EF" w:rsidRPr="00FD49EF">
        <w:rPr>
          <w:rFonts w:ascii="Helvetica" w:eastAsia="Times New Roman" w:hAnsi="Helvetica" w:cs="Times New Roman"/>
          <w:sz w:val="24"/>
          <w:szCs w:val="24"/>
        </w:rPr>
        <w:instrText xml:space="preserve"> HYPERLINK "http://www.solmetex.com/regulation" \t "_blank" </w:instrText>
      </w:r>
      <w:r w:rsidR="00FD49EF" w:rsidRPr="00FD49EF">
        <w:rPr>
          <w:rFonts w:ascii="Helvetica" w:eastAsia="Times New Roman" w:hAnsi="Helvetica" w:cs="Times New Roman"/>
          <w:sz w:val="24"/>
          <w:szCs w:val="24"/>
        </w:rPr>
      </w:r>
      <w:r w:rsidR="00FD49EF" w:rsidRPr="00FD49EF">
        <w:rPr>
          <w:rFonts w:ascii="Helvetica" w:eastAsia="Times New Roman" w:hAnsi="Helvetica" w:cs="Times New Roman"/>
          <w:sz w:val="24"/>
          <w:szCs w:val="24"/>
        </w:rPr>
        <w:fldChar w:fldCharType="separate"/>
      </w:r>
      <w:r w:rsidR="00FD49EF" w:rsidRPr="00FD49EF">
        <w:rPr>
          <w:rStyle w:val="Hyperlink"/>
          <w:rFonts w:ascii="Helvetica" w:eastAsia="Times New Roman" w:hAnsi="Helvetica" w:cs="Arial"/>
          <w:color w:val="486884"/>
          <w:sz w:val="24"/>
          <w:szCs w:val="24"/>
        </w:rPr>
        <w:t>solmetex.com/</w:t>
      </w:r>
      <w:proofErr w:type="spellStart"/>
      <w:r w:rsidR="00DA2499">
        <w:rPr>
          <w:rStyle w:val="Hyperlink"/>
          <w:rFonts w:ascii="Helvetica" w:eastAsia="Times New Roman" w:hAnsi="Helvetica" w:cs="Arial"/>
          <w:color w:val="486884"/>
          <w:sz w:val="24"/>
          <w:szCs w:val="24"/>
        </w:rPr>
        <w:t>EPA_</w:t>
      </w:r>
      <w:r w:rsidR="00FD49EF" w:rsidRPr="00FD49EF">
        <w:rPr>
          <w:rStyle w:val="Hyperlink"/>
          <w:rFonts w:ascii="Helvetica" w:eastAsia="Times New Roman" w:hAnsi="Helvetica" w:cs="Arial"/>
          <w:color w:val="486884"/>
          <w:sz w:val="24"/>
          <w:szCs w:val="24"/>
        </w:rPr>
        <w:t>regulation</w:t>
      </w:r>
      <w:proofErr w:type="spellEnd"/>
      <w:r w:rsidR="00FD49EF" w:rsidRPr="00FD49EF">
        <w:rPr>
          <w:rFonts w:ascii="Helvetica" w:eastAsia="Times New Roman" w:hAnsi="Helvetica" w:cs="Times New Roman"/>
          <w:sz w:val="24"/>
          <w:szCs w:val="24"/>
        </w:rPr>
        <w:fldChar w:fldCharType="end"/>
      </w:r>
      <w:r w:rsidR="00DA2499">
        <w:rPr>
          <w:rFonts w:ascii="Helvetica" w:eastAsia="Times New Roman" w:hAnsi="Helvetica" w:cs="Times New Roman"/>
          <w:sz w:val="24"/>
          <w:szCs w:val="24"/>
        </w:rPr>
        <w:t>/</w:t>
      </w:r>
    </w:p>
    <w:p w14:paraId="20F18EB3" w14:textId="77777777" w:rsidR="00FD49EF" w:rsidRPr="00FD49EF" w:rsidRDefault="00FD49EF">
      <w:pPr>
        <w:rPr>
          <w:rFonts w:ascii="Helvetica" w:hAnsi="Helvetica"/>
          <w:sz w:val="24"/>
          <w:szCs w:val="24"/>
        </w:rPr>
      </w:pPr>
    </w:p>
    <w:sectPr w:rsidR="00FD49EF" w:rsidRPr="00FD4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64E"/>
    <w:multiLevelType w:val="multilevel"/>
    <w:tmpl w:val="DB8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EE667F"/>
    <w:multiLevelType w:val="multilevel"/>
    <w:tmpl w:val="AA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4161B0"/>
    <w:multiLevelType w:val="multilevel"/>
    <w:tmpl w:val="DF82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3E3A1C"/>
    <w:multiLevelType w:val="multilevel"/>
    <w:tmpl w:val="1FF2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F8"/>
    <w:rsid w:val="001C113F"/>
    <w:rsid w:val="003F567A"/>
    <w:rsid w:val="00422D26"/>
    <w:rsid w:val="00725AF8"/>
    <w:rsid w:val="00760E21"/>
    <w:rsid w:val="00B46756"/>
    <w:rsid w:val="00D928A3"/>
    <w:rsid w:val="00DA2499"/>
    <w:rsid w:val="00FD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DF6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5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A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tpbfullwidthheadersubhead">
    <w:name w:val="et_pb_fullwidth_header_subhead"/>
    <w:basedOn w:val="DefaultParagraphFont"/>
    <w:rsid w:val="00725AF8"/>
  </w:style>
  <w:style w:type="paragraph" w:styleId="NormalWeb">
    <w:name w:val="Normal (Web)"/>
    <w:basedOn w:val="Normal"/>
    <w:uiPriority w:val="99"/>
    <w:semiHidden/>
    <w:unhideWhenUsed/>
    <w:rsid w:val="0072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5A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5AF8"/>
    <w:rPr>
      <w:b/>
      <w:bCs/>
    </w:rPr>
  </w:style>
  <w:style w:type="character" w:customStyle="1" w:styleId="apple-tab-span">
    <w:name w:val="apple-tab-span"/>
    <w:basedOn w:val="DefaultParagraphFont"/>
    <w:rsid w:val="00FD49EF"/>
  </w:style>
  <w:style w:type="character" w:customStyle="1" w:styleId="apple-converted-space">
    <w:name w:val="apple-converted-space"/>
    <w:basedOn w:val="DefaultParagraphFont"/>
    <w:rsid w:val="00FD49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5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A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tpbfullwidthheadersubhead">
    <w:name w:val="et_pb_fullwidth_header_subhead"/>
    <w:basedOn w:val="DefaultParagraphFont"/>
    <w:rsid w:val="00725AF8"/>
  </w:style>
  <w:style w:type="paragraph" w:styleId="NormalWeb">
    <w:name w:val="Normal (Web)"/>
    <w:basedOn w:val="Normal"/>
    <w:uiPriority w:val="99"/>
    <w:semiHidden/>
    <w:unhideWhenUsed/>
    <w:rsid w:val="0072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5A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5AF8"/>
    <w:rPr>
      <w:b/>
      <w:bCs/>
    </w:rPr>
  </w:style>
  <w:style w:type="character" w:customStyle="1" w:styleId="apple-tab-span">
    <w:name w:val="apple-tab-span"/>
    <w:basedOn w:val="DefaultParagraphFont"/>
    <w:rsid w:val="00FD49EF"/>
  </w:style>
  <w:style w:type="character" w:customStyle="1" w:styleId="apple-converted-space">
    <w:name w:val="apple-converted-space"/>
    <w:basedOn w:val="DefaultParagraphFont"/>
    <w:rsid w:val="00FD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19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43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ederalregister.gov/documents/2017/06/14/2017-12338/effluent-limitations-guidelines-and-standards-for-the-dental-category" TargetMode="External"/><Relationship Id="rId7" Type="http://schemas.openxmlformats.org/officeDocument/2006/relationships/hyperlink" Target="https://www.epa.gov/eg" TargetMode="External"/><Relationship Id="rId8" Type="http://schemas.openxmlformats.org/officeDocument/2006/relationships/hyperlink" Target="http://www.ada.org/~/media/ADA/Member%20Center/FIles/topics_amalgamwaste_brochure.ashx" TargetMode="External"/><Relationship Id="rId9" Type="http://schemas.openxmlformats.org/officeDocument/2006/relationships/hyperlink" Target="https://www.regulations.gov/docket?D=EPA-HQ-OW-2014-0693" TargetMode="External"/><Relationship Id="rId10" Type="http://schemas.openxmlformats.org/officeDocument/2006/relationships/hyperlink" Target="https://www.epa.gov/sites/production/files/2016-12/documents/dental-elg_final_fact-sheet_12-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515</Words>
  <Characters>2936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Olstead</dc:creator>
  <cp:keywords/>
  <dc:description/>
  <cp:lastModifiedBy>Harold Buchanan</cp:lastModifiedBy>
  <cp:revision>3</cp:revision>
  <dcterms:created xsi:type="dcterms:W3CDTF">2017-06-28T18:54:00Z</dcterms:created>
  <dcterms:modified xsi:type="dcterms:W3CDTF">2017-06-28T19:36:00Z</dcterms:modified>
</cp:coreProperties>
</file>